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Community Engagement Initiative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Americas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Community Engagement Initiative of the Year Award honours a distinguished initiative that has markedly deviated from conventional practices, resulting in extraordinary outcomes for the broader community, particularly in terms of societal impacts. This initiative distinguishes itself by either tackling a challenging issue that previously lacked effective resolution or by demonstrating scalability that leads to widespread, far-reaching impact. The award celebrates innovative approaches that significantly contribute to community welfare, highlighting initiatives that have not only identified and addressed critical societal problems but have also set new benchmarks in community engagement and social responsibility.</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Scope and Depth of Community Engagement</w:t>
      </w:r>
    </w:p>
    <w:p w14:paraId="7ADE8C40" w14:textId="377865F8" w:rsidR="005453A8" w:rsidRPr="005453A8" w:rsidRDefault="005453A8" w:rsidP="005453A8">
      <w:pPr>
        <w:rPr>
          <w:color w:val="B8A366"/>
          <w:lang w:val="en-AU"/>
        </w:rPr>
      </w:pPr>
      <w:r w:rsidRPr="005453A8">
        <w:rPr>
          <w:color w:val="B8A366"/>
          <w:lang w:val="en-AU"/>
        </w:rPr>
        <w:t>Present the extent and depth of the initiative's engagement with the community. This includes the breadth of community involvement, the diversity of stakeholders engaged, and the ways in which the initiative fosters meaningful interactions and partnerships with community members and organisations.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 in Engagement Approaches</w:t>
      </w:r>
    </w:p>
    <w:p w14:paraId="7ADE8C40" w14:textId="377865F8" w:rsidR="005453A8" w:rsidRPr="005453A8" w:rsidRDefault="005453A8" w:rsidP="005453A8">
      <w:pPr>
        <w:rPr>
          <w:color w:val="B8A366"/>
          <w:lang w:val="en-AU"/>
        </w:rPr>
      </w:pPr>
      <w:r w:rsidRPr="005453A8">
        <w:rPr>
          <w:color w:val="B8A366"/>
          <w:lang w:val="en-AU"/>
        </w:rPr>
        <w:t>Outline the innovative and creative methods used in the initiative to engage with the community. This could include unique collaboration models, novel approaches to problem-solving, or original ways of mobilizing and utilizing community resources and talents.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Benefits to the Community</w:t>
      </w:r>
    </w:p>
    <w:p w14:paraId="7ADE8C40" w14:textId="377865F8" w:rsidR="005453A8" w:rsidRPr="005453A8" w:rsidRDefault="005453A8" w:rsidP="005453A8">
      <w:pPr>
        <w:rPr>
          <w:color w:val="B8A366"/>
          <w:lang w:val="en-AU"/>
        </w:rPr>
      </w:pPr>
      <w:r w:rsidRPr="005453A8">
        <w:rPr>
          <w:color w:val="B8A366"/>
          <w:lang w:val="en-AU"/>
        </w:rPr>
        <w:t>Describe the tangible and lasting benefits the initiative has brought to the community. This criterion focuses on the measurable outcomes and improvements in community welfare, social justice, environmental sustainability, or other relevant areas, as a direct result of the initiative's activities.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and Potential for Growth</w:t>
      </w:r>
    </w:p>
    <w:p w14:paraId="7ADE8C40" w14:textId="377865F8" w:rsidR="005453A8" w:rsidRPr="005453A8" w:rsidRDefault="005453A8" w:rsidP="005453A8">
      <w:pPr>
        <w:rPr>
          <w:color w:val="B8A366"/>
          <w:lang w:val="en-AU"/>
        </w:rPr>
      </w:pPr>
      <w:r w:rsidRPr="005453A8">
        <w:rPr>
          <w:color w:val="B8A366"/>
          <w:lang w:val="en-AU"/>
        </w:rPr>
        <w:t>Outline the initiative's sustainability and potential for future growth or replication. This includes the initiative’s ability to continue delivering benefits over time, its adaptability to changing circumstances, and the potential for its model to be replicated or scaled in other contexts or communities.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