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University Leader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Asia-Pacific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This award honors an exceptional leader in higher education who has demonstrated remarkable vision, strategy, and commitment to advancing their institution in key areas such as entrepreneurship, community and civic engagement, sustainability, digital transformation, or innovation. It celebrates individuals whose transformative leadership inspires change, drives institutional excellence, and fosters a culture that empowers others to achieve meaningful impact.</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Position in organisation</w:t>
            </w:r>
            <w:r w:rsidR="000614A1">
              <w:rPr>
                <w:b/>
                <w:color w:val="auto"/>
                <w:lang w:val="en-AU"/>
              </w:rPr>
              <w:br/>
            </w:r>
            <w:r w:rsidR="000614A1" w:rsidRPr="000614A1">
              <w:rPr>
                <w:i/>
                <w:color w:val="000000" w:themeColor="text1"/>
                <w:lang w:val="en-AU"/>
              </w:rPr>
              <w:t>For example, Chancellor, Rector, Vice-Rector, Project Manager, Project Coordinator,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Age</w:t>
            </w:r>
            <w:r w:rsidR="000614A1">
              <w:rPr>
                <w:b/>
                <w:color w:val="auto"/>
                <w:lang w:val="en-AU"/>
              </w:rPr>
              <w:br/>
            </w:r>
            <w:r w:rsidR="000614A1" w:rsidRPr="000614A1">
              <w:rPr>
                <w:i/>
                <w:color w:val="000000" w:themeColor="text1"/>
                <w:lang w:val="en-AU"/>
              </w:rPr>
              <w:t>In years</w:t>
            </w:r>
            <w:r w:rsidR="000614A1">
              <w:rPr>
                <w:i/>
                <w:color w:val="000000" w:themeColor="text1"/>
                <w:lang w:val="en-AU"/>
              </w:rPr>
              <w:t xml:space="preserve"> </w:t>
            </w:r>
            <w:r w:rsidR="00C504EF" w:rsidRPr="005453A8">
              <w:rPr>
                <w:color w:val="B8A366"/>
                <w:lang w:val="en-AU"/>
              </w:rPr>
              <w:t>(max. 2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Vision and Strategic Leadership</w:t>
      </w:r>
    </w:p>
    <w:p w14:paraId="7ADE8C40" w14:textId="377865F8" w:rsidR="005453A8" w:rsidRPr="005453A8" w:rsidRDefault="005453A8" w:rsidP="005453A8">
      <w:pPr>
        <w:rPr>
          <w:color w:val="B8A366"/>
          <w:lang w:val="en-AU"/>
        </w:rPr>
      </w:pPr>
      <w:r w:rsidRPr="005453A8">
        <w:rPr>
          <w:color w:val="B8A366"/>
          <w:lang w:val="en-AU"/>
        </w:rPr>
        <w:t>Assesses the leader's ability to develop and articulate a clear and compelling vision for their institution, accompanied by strategies that drive long-term success and meaningful progress. This includes demonstrating foresight in addressing challenges and seizing opportunities.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Adaptability</w:t>
      </w:r>
    </w:p>
    <w:p w14:paraId="7ADE8C40" w14:textId="377865F8" w:rsidR="005453A8" w:rsidRPr="005453A8" w:rsidRDefault="005453A8" w:rsidP="005453A8">
      <w:pPr>
        <w:rPr>
          <w:color w:val="B8A366"/>
          <w:lang w:val="en-AU"/>
        </w:rPr>
      </w:pPr>
      <w:r w:rsidRPr="005453A8">
        <w:rPr>
          <w:color w:val="B8A366"/>
          <w:lang w:val="en-AU"/>
        </w:rPr>
        <w:t>Recognizes the leader’s ability to drive innovative solutions and adapt to changing environments, whether through the integration of digital tools, new pedagogical approaches, or creative problem-solving that benefits their institution and stakeholders.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Culture and Empowerment</w:t>
      </w:r>
    </w:p>
    <w:p w14:paraId="7ADE8C40" w14:textId="377865F8" w:rsidR="005453A8" w:rsidRPr="005453A8" w:rsidRDefault="005453A8" w:rsidP="005453A8">
      <w:pPr>
        <w:rPr>
          <w:color w:val="B8A366"/>
          <w:lang w:val="en-AU"/>
        </w:rPr>
      </w:pPr>
      <w:r w:rsidRPr="005453A8">
        <w:rPr>
          <w:color w:val="B8A366"/>
          <w:lang w:val="en-AU"/>
        </w:rPr>
        <w:t>Evaluates the extent to which the leader has fostered an inclusive and empowering culture within their institution, encouraging collaboration, shared ownership of goals, and opportunities for others to thrive and contribute to institutional success.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Transformative Impact</w:t>
      </w:r>
    </w:p>
    <w:p w14:paraId="7ADE8C40" w14:textId="377865F8" w:rsidR="005453A8" w:rsidRPr="005453A8" w:rsidRDefault="005453A8" w:rsidP="005453A8">
      <w:pPr>
        <w:rPr>
          <w:color w:val="B8A366"/>
          <w:lang w:val="en-AU"/>
        </w:rPr>
      </w:pPr>
      <w:r w:rsidRPr="005453A8">
        <w:rPr>
          <w:color w:val="B8A366"/>
          <w:lang w:val="en-AU"/>
        </w:rPr>
        <w:t>Measures the tangible outcomes of the leader's efforts in advancing their institution, including improvements in performance, reputation, or societal impact. This could relate to areas such as fostering entrepreneurship, enhancing sustainability, or strengthening community engagement.</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