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Green University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Global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The Green University of the Year Award recognizes a higher education institution that exemplifies outstanding commitment to environmental protection and sustainability. This includes integrating sustainable practices into resource planning, operations, research, and teaching, while fostering a culture of environmental responsibility among staff, students, and the broader community. Honoring institutions where environmental stewardship is a core value, this award celebrates leadership in climate action and the promotion of green initiatives that inspire meaningful change within and beyond the campus.</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Type of University</w:t>
            </w:r>
            <w:r w:rsidR="000614A1">
              <w:rPr>
                <w:b/>
                <w:color w:val="auto"/>
                <w:lang w:val="en-AU"/>
              </w:rPr>
              <w:br/>
            </w:r>
            <w:r w:rsidR="000614A1" w:rsidRPr="000614A1">
              <w:rPr>
                <w:i/>
                <w:color w:val="000000" w:themeColor="text1"/>
                <w:lang w:val="en-AU"/>
              </w:rPr>
              <w:t>For example, comprehensive university, university of applied sciences, technical university, art school, etc. </w:t>
            </w:r>
            <w:r w:rsidR="000614A1">
              <w:rPr>
                <w:i/>
                <w:color w:val="000000" w:themeColor="text1"/>
                <w:lang w:val="en-AU"/>
              </w:rPr>
              <w:t xml:space="preserve"> </w:t>
            </w:r>
            <w:r w:rsidR="00C504EF" w:rsidRPr="005453A8">
              <w:rPr>
                <w:color w:val="B8A366"/>
                <w:lang w:val="en-AU"/>
              </w:rPr>
              <w:t>(max. 150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students </w:t>
            </w:r>
            <w:r w:rsidR="000614A1">
              <w:rPr>
                <w:b/>
                <w:color w:val="auto"/>
                <w:lang w:val="en-AU"/>
              </w:rPr>
              <w:br/>
            </w:r>
            <w:r w:rsidR="000614A1" w:rsidRPr="000614A1">
              <w:rPr>
                <w:i/>
                <w:color w:val="000000" w:themeColor="text1"/>
                <w:lang w:val="en-AU"/>
              </w:rPr>
              <w:t>Total number of students including part and full-time, and bachelor, master and PhD students</w:t>
            </w:r>
            <w:r w:rsidR="000614A1">
              <w:rPr>
                <w:i/>
                <w:color w:val="000000" w:themeColor="text1"/>
                <w:lang w:val="en-AU"/>
              </w:rPr>
              <w:t xml:space="preserve"> </w:t>
            </w:r>
            <w:r w:rsidR="00C504EF" w:rsidRPr="005453A8">
              <w:rPr>
                <w:color w:val="B8A366"/>
                <w:lang w:val="en-AU"/>
              </w:rPr>
              <w:t>(max. 7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academic staff </w:t>
            </w:r>
            <w:r w:rsidR="000614A1">
              <w:rPr>
                <w:b/>
                <w:color w:val="auto"/>
                <w:lang w:val="en-AU"/>
              </w:rPr>
              <w:br/>
            </w:r>
            <w:r w:rsidR="000614A1" w:rsidRPr="000614A1">
              <w:rPr>
                <w:i/>
                <w:color w:val="000000" w:themeColor="text1"/>
                <w:lang w:val="en-AU"/>
              </w:rPr>
              <w:t>Full time equivalent (FTE)</w:t>
            </w:r>
            <w:r w:rsidR="000614A1">
              <w:rPr>
                <w:i/>
                <w:color w:val="000000" w:themeColor="text1"/>
                <w:lang w:val="en-AU"/>
              </w:rPr>
              <w:t xml:space="preserve"> </w:t>
            </w:r>
            <w:r w:rsidR="00C504EF" w:rsidRPr="005453A8">
              <w:rPr>
                <w:color w:val="B8A366"/>
                <w:lang w:val="en-AU"/>
              </w:rPr>
              <w:t>(max. 6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Annual university budget</w:t>
            </w:r>
            <w:r w:rsidR="000614A1">
              <w:rPr>
                <w:b/>
                <w:color w:val="auto"/>
                <w:lang w:val="en-AU"/>
              </w:rPr>
              <w:br/>
            </w:r>
            <w:r w:rsidR="000614A1" w:rsidRPr="000614A1">
              <w:rPr>
                <w:i/>
                <w:color w:val="000000" w:themeColor="text1"/>
                <w:lang w:val="en-AU"/>
              </w:rPr>
              <w:t>Please insert the budget and currency.</w:t>
            </w:r>
            <w:r w:rsidR="000614A1">
              <w:rPr>
                <w:i/>
                <w:color w:val="000000" w:themeColor="text1"/>
                <w:lang w:val="en-AU"/>
              </w:rPr>
              <w:t xml:space="preserve"> </w:t>
            </w:r>
            <w:r w:rsidR="00C504EF" w:rsidRPr="005453A8">
              <w:rPr>
                <w:color w:val="B8A366"/>
                <w:lang w:val="en-AU"/>
              </w:rPr>
              <w:t>(max. 20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Foundation year</w:t>
            </w:r>
            <w:r w:rsidR="000614A1">
              <w:rPr>
                <w:b/>
                <w:color w:val="auto"/>
                <w:lang w:val="en-AU"/>
              </w:rPr>
              <w:br/>
            </w:r>
            <w:r w:rsidR="000614A1" w:rsidRPr="000614A1">
              <w:rPr>
                <w:i/>
                <w:color w:val="000000" w:themeColor="text1"/>
                <w:lang w:val="en-AU"/>
              </w:rPr>
              <w:t>Please insert when your university, initiative, ecosystem, alliance, research project/stream etc. was established (depending on your category).</w:t>
            </w:r>
            <w:r w:rsidR="000614A1">
              <w:rPr>
                <w:i/>
                <w:color w:val="000000" w:themeColor="text1"/>
                <w:lang w:val="en-AU"/>
              </w:rPr>
              <w:t xml:space="preserve"> </w:t>
            </w:r>
            <w:r w:rsidR="00C504EF" w:rsidRPr="005453A8">
              <w:rPr>
                <w:color w:val="B8A366"/>
                <w:lang w:val="en-AU"/>
              </w:rPr>
              <w:t>(max. 4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Integration of Sustainability into Institutional Strategy</w:t>
      </w:r>
    </w:p>
    <w:p w14:paraId="7ADE8C40" w14:textId="377865F8" w:rsidR="005453A8" w:rsidRPr="005453A8" w:rsidRDefault="005453A8" w:rsidP="005453A8">
      <w:pPr>
        <w:rPr>
          <w:color w:val="B8A366"/>
          <w:lang w:val="en-AU"/>
        </w:rPr>
      </w:pPr>
      <w:r w:rsidRPr="005453A8">
        <w:rPr>
          <w:color w:val="B8A366"/>
          <w:lang w:val="en-AU"/>
        </w:rPr>
        <w:t>Assess how sustainability and environmental protection are embedded within the university’s vision, mission, and strategic objectives. Evaluate the alignment of policies, resource planning, and decision-making processes with green goals and how sustainability is promoted as a core institutional value.</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Breadth and Diversity of Sustainability Initiatives</w:t>
      </w:r>
    </w:p>
    <w:p w14:paraId="7ADE8C40" w14:textId="377865F8" w:rsidR="005453A8" w:rsidRPr="005453A8" w:rsidRDefault="005453A8" w:rsidP="005453A8">
      <w:pPr>
        <w:rPr>
          <w:color w:val="B8A366"/>
          <w:lang w:val="en-AU"/>
        </w:rPr>
      </w:pPr>
      <w:r w:rsidRPr="005453A8">
        <w:rPr>
          <w:color w:val="B8A366"/>
          <w:lang w:val="en-AU"/>
        </w:rPr>
        <w:t>Evaluate the range and diversity of the university’s sustainability activities, including examples of programs, research projects, and collaborations that address environmental challenges. Highlight engagement with local, national, and international stakeholders and the variety of ecological issues tackled.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in Green Practices</w:t>
      </w:r>
    </w:p>
    <w:p w14:paraId="7ADE8C40" w14:textId="377865F8" w:rsidR="005453A8" w:rsidRPr="005453A8" w:rsidRDefault="005453A8" w:rsidP="005453A8">
      <w:pPr>
        <w:rPr>
          <w:color w:val="B8A366"/>
          <w:lang w:val="en-AU"/>
        </w:rPr>
      </w:pPr>
      <w:r w:rsidRPr="005453A8">
        <w:rPr>
          <w:color w:val="B8A366"/>
          <w:lang w:val="en-AU"/>
        </w:rPr>
        <w:t>Examine the creativity and innovation in the university’s approaches to sustainability, including unique strategies, programs, or partnerships. Assess how the institution adopts cutting-edge technologies or novel practices to drive environmental stewardship and climate action.</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Tangible Environmental Impact</w:t>
      </w:r>
    </w:p>
    <w:p w14:paraId="7ADE8C40" w14:textId="377865F8" w:rsidR="005453A8" w:rsidRPr="005453A8" w:rsidRDefault="005453A8" w:rsidP="005453A8">
      <w:pPr>
        <w:rPr>
          <w:color w:val="B8A366"/>
          <w:lang w:val="en-AU"/>
        </w:rPr>
      </w:pPr>
      <w:r w:rsidRPr="005453A8">
        <w:rPr>
          <w:color w:val="B8A366"/>
          <w:lang w:val="en-AU"/>
        </w:rPr>
        <w:t>Analyze the measurable outcomes of the university’s sustainability efforts, such as reductions in carbon footprint, improvements in resource efficiency, or contributions to biodiversity. Evaluate the broader positive impacts on the environment and society.</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Sustainability of Green Initiatives</w:t>
      </w:r>
    </w:p>
    <w:p w14:paraId="7ADE8C40" w14:textId="377865F8" w:rsidR="005453A8" w:rsidRPr="005453A8" w:rsidRDefault="005453A8" w:rsidP="005453A8">
      <w:pPr>
        <w:rPr>
          <w:color w:val="B8A366"/>
          <w:lang w:val="en-AU"/>
        </w:rPr>
      </w:pPr>
      <w:r w:rsidRPr="005453A8">
        <w:rPr>
          <w:color w:val="B8A366"/>
          <w:lang w:val="en-AU"/>
        </w:rPr>
        <w:t>Examine the long-term viability and scalability of the university’s sustainability efforts. Assess the strategies, policies, and resources in place to ensure the ongoing impact and expansion of green practices, both on campus and in the wider community.</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